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1.pielikums</w:t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Tirgus izpētei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Pazemes ūdens analīžu veikšana, dzeramā ūdens analīžu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veikšana pēc monitoringa programmas, dzeramā ūdens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analīžu veikšana pēc dezinfekcijas un kanalizācijas notekūdeņu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analīžu veikšana pēc B kategorijas atļaujas NR. RE13IBB0017”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shd w:fill="auto" w:val="clear"/>
        </w:rPr>
        <w:t>ID Nr.P/A „SAN-TEX” 2024-3</w:t>
      </w:r>
    </w:p>
    <w:p>
      <w:pPr>
        <w:pStyle w:val="Normal"/>
        <w:bidi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TEHNISKĀ SPECIFIKĀCIJA</w:t>
      </w:r>
    </w:p>
    <w:p>
      <w:pPr>
        <w:pStyle w:val="Pamatteksts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shd w:fill="auto" w:val="clear"/>
          <w:lang w:val="lv-LV" w:eastAsia="en-US" w:bidi="ar-SA"/>
        </w:rPr>
        <w:t>“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shd w:fill="auto" w:val="clear"/>
          <w:lang w:val="lv-LV" w:eastAsia="en-US" w:bidi="ar-SA"/>
        </w:rPr>
        <w:t>Pazemes ūdens analīžu veikšana, dzeramā ūdens analīžu veikšana pēc monitoringa programmas, dzeramā ūdens analīžu veikšana pēc dezinfekcijas un kanalizācijas notekūdeņu analīžu veikšana  pēc B kategorijas atļaujas NR. RE13IBB0017”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(ID Nr. </w:t>
      </w:r>
      <w:r>
        <w:rPr>
          <w:rFonts w:eastAsia="Arial" w:cs="Times New Roman" w:ascii="Times New Roman" w:hAnsi="Times New Roman" w:eastAsiaTheme="minorHAnsi"/>
          <w:b/>
          <w:color w:val="000000"/>
          <w:kern w:val="0"/>
          <w:sz w:val="28"/>
          <w:szCs w:val="28"/>
          <w:shd w:fill="auto" w:val="clear"/>
          <w:lang w:val="lv-LV" w:eastAsia="en-US" w:bidi="ar-SA"/>
        </w:rPr>
        <w:t>P/A “SAN-TEX“ 2024-3</w:t>
      </w: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 )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1. Pazemes ūdens m</w:t>
      </w:r>
      <w:r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onitoringa programmā nosakāmie rādītāji</w:t>
      </w:r>
      <w:r>
        <w:rPr>
          <w:rStyle w:val="Vresenkurs"/>
          <w:rFonts w:ascii="Times New Roman" w:hAnsi="Times New Roman"/>
          <w:b/>
          <w:bCs/>
          <w:sz w:val="24"/>
          <w:szCs w:val="24"/>
          <w:u w:val="single"/>
          <w:lang w:val="lv-LV"/>
        </w:rPr>
        <w:footnoteReference w:id="2"/>
      </w:r>
      <w:r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:</w:t>
      </w:r>
    </w:p>
    <w:tbl>
      <w:tblPr>
        <w:tblW w:w="9857" w:type="dxa"/>
        <w:jc w:val="left"/>
        <w:tblInd w:w="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486"/>
        <w:gridCol w:w="1426"/>
        <w:gridCol w:w="1467"/>
        <w:gridCol w:w="1532"/>
        <w:gridCol w:w="1254"/>
        <w:gridCol w:w="1071"/>
      </w:tblGrid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1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Rādītājs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Cena par vienību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bez PVN,</w:t>
            </w: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€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par vienību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 PVN,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Rādītāja noteikšanas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reižu skaits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>Cena kopā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bez PVN,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€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kopā ar PVN,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</w:rPr>
              <w:t>€</w:t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Elektrovadītspēja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Hlorīda joni Cl</w:t>
            </w:r>
            <w:bookmarkStart w:id="0" w:name="OLE_LINK18"/>
            <w:bookmarkStart w:id="1" w:name="OLE_LINK17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bookmarkEnd w:id="0"/>
            <w:bookmarkEnd w:id="1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Sulfāta joni 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Hidrogenkarbonāta joni HCO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Kalcija joni Ca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bookmarkStart w:id="2" w:name="OLE_LINK16"/>
            <w:bookmarkStart w:id="3" w:name="OLE_LINK15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bookmarkEnd w:id="2"/>
            <w:bookmarkEnd w:id="3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Magnija joni Mg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Permanganāta indeksu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Dzelzs saturs, Fekop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Mangāns, Mn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Amonija joni, NH4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Nitrāta joni 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3E3E3E"/>
                <w:sz w:val="24"/>
                <w:szCs w:val="24"/>
              </w:rPr>
            </w:pPr>
            <w:r>
              <w:rPr>
                <w:rFonts w:ascii="Times New Roman" w:hAnsi="Times New Roman"/>
                <w:color w:val="3E3E3E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Nitrīta joni NO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Nkop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E.Coli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Kopējās koliformas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Kopējo mikroorganismu koloniju skaits (KVV) pie 22 Celsija grādiem.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753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SUMMA, </w:t>
            </w:r>
            <w:r>
              <w:rPr>
                <w:rFonts w:eastAsia="Liberation Serif" w:cs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widowControl w:val="false"/>
        <w:suppressAutoHyphens w:val="false"/>
        <w:bidi w:val="0"/>
        <w:spacing w:before="0" w:after="0"/>
        <w:contextualSpacing/>
        <w:jc w:val="both"/>
        <w:rPr>
          <w:rFonts w:ascii="Times New Roman" w:hAnsi="Times New Roman"/>
          <w:b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r>
    </w:p>
    <w:p>
      <w:pPr>
        <w:pStyle w:val="Normal"/>
        <w:widowControl w:val="false"/>
        <w:suppressAutoHyphens w:val="false"/>
        <w:bidi w:val="0"/>
        <w:spacing w:before="0" w:after="0"/>
        <w:contextualSpacing/>
        <w:jc w:val="both"/>
        <w:rPr>
          <w:rFonts w:ascii="Times New Roman" w:hAnsi="Times New Roman"/>
          <w:b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r>
    </w:p>
    <w:p>
      <w:pPr>
        <w:pStyle w:val="Normal"/>
        <w:widowControl w:val="false"/>
        <w:suppressAutoHyphens w:val="false"/>
        <w:bidi w:val="0"/>
        <w:spacing w:before="0" w:after="0"/>
        <w:contextualSpacing/>
        <w:jc w:val="both"/>
        <w:rPr>
          <w:rFonts w:ascii="Times New Roman" w:hAnsi="Times New Roman"/>
          <w:b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r>
    </w:p>
    <w:p>
      <w:pPr>
        <w:pStyle w:val="Normal"/>
        <w:widowControl w:val="false"/>
        <w:suppressAutoHyphens w:val="false"/>
        <w:bidi w:val="0"/>
        <w:spacing w:before="0" w:after="0"/>
        <w:contextualSpacing/>
        <w:jc w:val="both"/>
        <w:rPr/>
      </w:pP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2. Dzeramā ūdens m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  <w:lang w:val="lv-LV"/>
        </w:rPr>
        <w:t>onitoringā nosakāmie rādītāji un paraugu ņemšanas biežumi</w:t>
      </w:r>
      <w:r>
        <w:rPr>
          <w:rStyle w:val="Vresenkurs"/>
          <w:rFonts w:ascii="Times New Roman" w:hAnsi="Times New Roman"/>
          <w:b/>
          <w:bCs/>
          <w:color w:val="auto"/>
          <w:sz w:val="24"/>
          <w:szCs w:val="24"/>
          <w:u w:val="single"/>
          <w:lang w:val="lv-LV"/>
        </w:rPr>
        <w:footnoteReference w:id="3"/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  <w:lang w:val="lv-LV"/>
        </w:rPr>
        <w:t>:</w:t>
      </w:r>
    </w:p>
    <w:tbl>
      <w:tblPr>
        <w:tblW w:w="9836" w:type="dxa"/>
        <w:jc w:val="left"/>
        <w:tblInd w:w="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476"/>
        <w:gridCol w:w="1424"/>
        <w:gridCol w:w="1459"/>
        <w:gridCol w:w="1531"/>
        <w:gridCol w:w="1244"/>
        <w:gridCol w:w="1081"/>
      </w:tblGrid>
      <w:tr>
        <w:trPr>
          <w:tblHeader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Rādītājs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 xml:space="preserve">Cena par vienību bez PVN, </w:t>
            </w:r>
            <w:r>
              <w:rPr>
                <w:rFonts w:eastAsia="Liberation Serif" w:cs="Liberation Serif" w:ascii="Times New Roman" w:hAnsi="Times New Roman"/>
                <w:b/>
                <w:sz w:val="20"/>
                <w:szCs w:val="20"/>
                <w:lang w:val="lv-LV"/>
              </w:rPr>
              <w:t>€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par vienību ar PVN,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Liberation Serif" w:cs="Liberation Serif" w:ascii="Times New Roman" w:hAnsi="Times New Roman"/>
                <w:b/>
                <w:sz w:val="20"/>
                <w:szCs w:val="20"/>
                <w:lang w:val="lv-LV"/>
              </w:rPr>
              <w:t>Rādītāja noteikšanas reižu skaits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 xml:space="preserve">Cena kopā bez PVN, </w:t>
            </w:r>
            <w:r>
              <w:rPr>
                <w:rFonts w:eastAsia="Liberation Serif" w:cs="Liberation Serif" w:ascii="Times New Roman" w:hAnsi="Times New Roman"/>
                <w:b/>
                <w:sz w:val="20"/>
                <w:szCs w:val="20"/>
                <w:lang w:val="lv-LV"/>
              </w:rPr>
              <w:t>€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kopā ar PVN,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</w:rPr>
              <w:t>€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Uzsvars"/>
                <w:rFonts w:ascii="Times New Roman" w:hAnsi="Times New Roman"/>
                <w:sz w:val="24"/>
                <w:szCs w:val="24"/>
                <w:shd w:fill="FFFFFF" w:val="clear"/>
              </w:rPr>
              <w:t>Escherichia coli (E. coli)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zarnu enterokoki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koliformas baktērijas (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kopējās koliformas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mikroorganismu koloniju skaits (KVV) 22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duļķainība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6.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garša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7.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krāsa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8.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smarža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9.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ūdeņraža jonu koncentrācija (pH)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10.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elektrovadītspēja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>
          <w:trHeight w:val="351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amonijs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nitrīti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>
          <w:trHeight w:val="337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13.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alumīnijs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>
          <w:trHeight w:val="272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14.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dzelzs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15.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hlorīdi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16.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mangāns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17.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sulfāti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18.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nātrijs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19.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antimons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arsēns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benzols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benzo(a)pirēns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23.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bisfenols 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24.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bors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25.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bromāti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26.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kadmijs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27.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hlorāti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hlorīti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29.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hroms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30.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varš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cianīdi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1,2-dihloretāns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33.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fluorīdi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34.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svins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35.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dzīvsudrabs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36.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niķelis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37.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nitrāti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38.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PFAS summa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39.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policikliskie aromātiskie ogļūdeņraži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40.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selēns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tetrahloretēns un trihloretēns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trihalometāni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43.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urāns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44.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17-beta-estradiols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45.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Nonilfenols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46.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oksidējamība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47.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kopējais organiskais ogleklis (TOC)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48.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Pesticīdi: Bentazons, MCPA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49.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halogēnetiķskābes (HAA5)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50.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mikrocistīns-LR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Clostridium perfringens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(ieskaitot sporas)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ūdens cietība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53.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54.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55.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ūdenī izšķīdušie anjoni un katjoni: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kalcijs (Ca),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magnijs (Mg),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kālijs (K)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56.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radons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57.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tritijs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58.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indikatīvā doza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59.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papildu rādītāji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51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SUMMA, </w:t>
            </w:r>
            <w:r>
              <w:rPr>
                <w:rFonts w:eastAsia="Liberation Serif" w:cs="Liberation Serif"/>
                <w:b/>
                <w:bCs/>
                <w:sz w:val="24"/>
                <w:szCs w:val="24"/>
                <w:lang w:val="lv-LV"/>
              </w:rPr>
              <w:t>€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u w:val="single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3. Notekūdeņu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  <w:lang w:val="lv-LV"/>
        </w:rPr>
        <w:t xml:space="preserve"> monitoringā nosakāmie rādītāji un paraugu ņemšanas biežumi:</w:t>
      </w:r>
    </w:p>
    <w:tbl>
      <w:tblPr>
        <w:tblW w:w="10093" w:type="dxa"/>
        <w:jc w:val="left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64"/>
        <w:gridCol w:w="1190"/>
        <w:gridCol w:w="1425"/>
        <w:gridCol w:w="890"/>
        <w:gridCol w:w="1092"/>
        <w:gridCol w:w="964"/>
        <w:gridCol w:w="846"/>
        <w:gridCol w:w="965"/>
        <w:gridCol w:w="856"/>
      </w:tblGrid>
      <w:tr>
        <w:trPr>
          <w:trHeight w:val="820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Nosakāmais rādītājs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Cena par vienību bez PVN, €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Cena par vienību ar PVN,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€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Ieplūde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Cena kopā bez PVN, €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Cena kopā ar PVN,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€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Izplūde*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Cena kopā bez PVN, €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Cena kopā ar PVN,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€</w:t>
            </w:r>
          </w:p>
        </w:tc>
      </w:tr>
      <w:tr>
        <w:trPr>
          <w:trHeight w:val="570" w:hRule="atLeast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Notekūdens paraugu ņemšana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Suspendētās vielas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BSP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ĶSP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N/NH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N/NO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kop.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kop.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N/NO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Naftas produkti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30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Summa,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4"/>
                <w:szCs w:val="24"/>
              </w:rPr>
              <w:t>€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: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0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*izplūde paraugi jāņem 4x gadā, bet 2 vietās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Bolupes upe (virszemes ūdeņi, aiz un pirms Biodīķu izplūdes vietas)</w:t>
      </w:r>
    </w:p>
    <w:tbl>
      <w:tblPr>
        <w:tblW w:w="10093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8"/>
        <w:gridCol w:w="1189"/>
        <w:gridCol w:w="1244"/>
        <w:gridCol w:w="1017"/>
        <w:gridCol w:w="1029"/>
        <w:gridCol w:w="1071"/>
        <w:gridCol w:w="857"/>
        <w:gridCol w:w="901"/>
        <w:gridCol w:w="856"/>
      </w:tblGrid>
      <w:tr>
        <w:trPr>
          <w:trHeight w:val="990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Nosakāmais rādītājs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Cena par vienību bez PVN, €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Cena par vienību ar PVN,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€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Augšpus NAI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 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Cena kopā bez PVN, €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Cena kopā ar PVN,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€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Lejpus NAI    100 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Cena kopā bez PVN, €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Cena kopā ar PVN,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€</w:t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Izšķīdušais skābeklis O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Suspendētās vielas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BSP</w:t>
            </w:r>
            <w:r>
              <w:rPr>
                <w:rFonts w:ascii="Times New Roman" w:hAnsi="Times New Roman"/>
                <w:vertAlign w:val="subscript"/>
              </w:rPr>
              <w:t>5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N/NH</w:t>
            </w:r>
            <w:r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N/NO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vertAlign w:val="subscript"/>
              </w:rPr>
              <w:t>kop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Saprobitātes indekss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436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Summa, </w:t>
            </w:r>
            <w:r>
              <w:rPr>
                <w:rFonts w:eastAsia="Liberation Serif" w:cs="Liberation Serif"/>
                <w:b/>
              </w:rPr>
              <w:t>€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</w:r>
    </w:p>
    <w:tbl>
      <w:tblPr>
        <w:tblW w:w="10093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96"/>
        <w:gridCol w:w="1017"/>
        <w:gridCol w:w="1425"/>
        <w:gridCol w:w="1362"/>
        <w:gridCol w:w="1585"/>
        <w:gridCol w:w="1307"/>
      </w:tblGrid>
      <w:tr>
        <w:trPr>
          <w:trHeight w:val="447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Cena par vienību bez PVN, €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Cena par vienību ar PVN,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€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Cena kopā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bez PVN, €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lv-LV"/>
              </w:rPr>
              <w:t xml:space="preserve">Cena kopā ar PVN, </w:t>
            </w:r>
            <w:r>
              <w:rPr>
                <w:rFonts w:eastAsia="Liberation Serif" w:cs="Liberation Serif" w:ascii="Times New Roman" w:hAnsi="Times New Roman"/>
                <w:b/>
                <w:bCs/>
                <w:sz w:val="20"/>
                <w:szCs w:val="20"/>
                <w:lang w:val="lv-LV"/>
              </w:rPr>
              <w:t>€</w:t>
            </w:r>
          </w:p>
        </w:tc>
      </w:tr>
      <w:tr>
        <w:trPr>
          <w:trHeight w:val="510" w:hRule="atLeast"/>
        </w:trPr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Transporta pakalpojumi*</w:t>
              <w:br/>
              <w:t>(Xkm* Ypar 1km)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55" w:hRule="atLeast"/>
        </w:trPr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Testēšanas pārskata noformēšana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441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Summa, </w:t>
            </w:r>
            <w:r>
              <w:rPr>
                <w:rFonts w:eastAsia="Liberation Serif" w:cs="Liberation Serif"/>
                <w:b/>
              </w:rPr>
              <w:t>€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Vre"/>
        <w:rPr/>
      </w:pPr>
      <w:r>
        <w:rPr>
          <w:rStyle w:val="Vresrakstzmes"/>
        </w:rPr>
        <w:footnoteRef/>
      </w:r>
      <w:r>
        <w:rPr/>
        <w:tab/>
        <w:t xml:space="preserve"> </w:t>
      </w:r>
      <w:r>
        <w:rPr>
          <w:lang w:val="lv-LV"/>
        </w:rPr>
        <w:t xml:space="preserve">Saskaņā ar </w:t>
      </w:r>
      <w:r>
        <w:rPr>
          <w:rFonts w:eastAsia="Times New Roman" w:cs="Times New Roman"/>
          <w:color w:val="auto"/>
          <w:sz w:val="20"/>
          <w:szCs w:val="20"/>
          <w:lang w:val="lv-LV" w:eastAsia="zh-CN" w:bidi="ar-SA"/>
        </w:rPr>
        <w:t>Valsts Vides Dienesta Ūdens resursu lietošanas atļaujā Nr.AP22DU0004 noteikto</w:t>
      </w:r>
      <w:r>
        <w:rPr>
          <w:lang w:val="lv-LV"/>
        </w:rPr>
        <w:t>.</w:t>
      </w:r>
    </w:p>
  </w:footnote>
  <w:footnote w:id="3">
    <w:p>
      <w:pPr>
        <w:pStyle w:val="Vre"/>
        <w:jc w:val="both"/>
        <w:rPr/>
      </w:pPr>
      <w:r>
        <w:rPr>
          <w:rStyle w:val="Vresrakstzmes"/>
        </w:rPr>
        <w:footnoteRef/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  <w:lang w:val="lv-LV"/>
        </w:rPr>
        <w:t>Saskaņā ar Ministru kabineta 26.09.2023. noteikumu Nr.547 „Dzeramā ūdens obligātās nekaitīguma un kvalitātes prasības, monitoringa un kontroles kārtība” (turpmāk – MK547) 3.daļu “Dzeramā ūdens monitoringa programmas izstrāde un izpilde” un 2.un 3.pielikumu.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lv-LV" w:eastAsia="zh-CN" w:bidi="hi-IN"/>
    </w:rPr>
  </w:style>
  <w:style w:type="character" w:styleId="DefaultParagraphFont">
    <w:name w:val="Default Paragraph Font"/>
    <w:qFormat/>
    <w:rPr/>
  </w:style>
  <w:style w:type="character" w:styleId="Vresrakstzmes">
    <w:name w:val="Vēres rakstzīmes"/>
    <w:basedOn w:val="DefaultParagraphFont"/>
    <w:qFormat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Vresenkurs">
    <w:name w:val="Vēres enkurs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Uzsvars">
    <w:name w:val="Uzsvars"/>
    <w:qFormat/>
    <w:rPr>
      <w:i/>
      <w:iCs/>
    </w:rPr>
  </w:style>
  <w:style w:type="character" w:styleId="Beiguvresenkurs">
    <w:name w:val="Beigu vēres enkurs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Beiguvresrakstzme">
    <w:name w:val="Beigu vēres rakstzīme"/>
    <w:qFormat/>
    <w:rPr/>
  </w:style>
  <w:style w:type="character" w:styleId="Numuranassimboli">
    <w:name w:val="Numurēšanas simboli"/>
    <w:qFormat/>
    <w:rPr/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Vre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Saturardtjs">
    <w:name w:val="Satura rādītājs"/>
    <w:basedOn w:val="Normal"/>
    <w:qFormat/>
    <w:pPr>
      <w:widowControl w:val="false"/>
      <w:suppressLineNumbers/>
    </w:pPr>
    <w:rPr/>
  </w:style>
  <w:style w:type="paragraph" w:styleId="Tabulasvirsraksts">
    <w:name w:val="Tabulas virsraksts"/>
    <w:basedOn w:val="Saturardtj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212</TotalTime>
  <Application>LibreOffice/7.3.2.2$Windows_X86_64 LibreOffice_project/49f2b1bff42cfccbd8f788c8dc32c1c309559be0</Application>
  <AppVersion>15.0000</AppVersion>
  <Pages>5</Pages>
  <Words>696</Words>
  <Characters>3357</Characters>
  <CharactersWithSpaces>3706</CharactersWithSpaces>
  <Paragraphs>356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2024-01-22T11:01:50Z</dcterms:created>
  <dc:creator/>
  <dc:description/>
  <dc:language>lv-LV</dc:language>
  <cp:lastModifiedBy/>
  <dcterms:modified xsi:type="dcterms:W3CDTF">2024-01-26T10:57:57Z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